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461645" cy="60198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8" t="1129" r="1603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jc w:val="center"/>
        <w:rPr>
          <w:b/>
          <w:spacing w:val="60"/>
          <w:sz w:val="32"/>
          <w:szCs w:val="32"/>
        </w:rPr>
      </w:pPr>
      <w:r>
        <w:rPr>
          <w:sz w:val="28"/>
          <w:szCs w:val="28"/>
        </w:rPr>
        <w:t>МИНИСТЕРСТВО ОБРАЗОВАНИЯ КУЗБАССА</w:t>
      </w:r>
    </w:p>
    <w:p>
      <w:pPr>
        <w:pStyle w:val="Normal"/>
        <w:keepNext w:val="true"/>
        <w:spacing w:before="240" w:after="0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32"/>
          <w:szCs w:val="32"/>
        </w:rPr>
        <w:t>ПРИКАЗ</w:t>
      </w:r>
    </w:p>
    <w:p>
      <w:pPr>
        <w:pStyle w:val="Normal"/>
        <w:keepNext w:val="true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</w:r>
    </w:p>
    <w:p>
      <w:pPr>
        <w:pStyle w:val="Normal"/>
        <w:keepNext w:val="true"/>
        <w:widowControl/>
        <w:jc w:val="center"/>
        <w:rPr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  <w:u w:val="none"/>
        </w:rPr>
        <w:t xml:space="preserve"> </w:t>
      </w:r>
      <w:r>
        <w:rPr>
          <w:rFonts w:cs="PT Astra Serif" w:ascii="PT Astra Serif" w:hAnsi="PT Astra Serif"/>
          <w:sz w:val="28"/>
          <w:szCs w:val="28"/>
          <w:u w:val="none"/>
        </w:rPr>
        <w:t xml:space="preserve">от </w:t>
      </w:r>
      <w:r>
        <w:rPr>
          <w:rFonts w:cs="PT Astra Serif" w:ascii="PT Astra Serif" w:hAnsi="PT Astra Serif"/>
          <w:sz w:val="28"/>
          <w:szCs w:val="28"/>
          <w:u w:val="single"/>
        </w:rPr>
        <w:t>29.04.2026 г.</w:t>
      </w:r>
      <w:r>
        <w:rPr>
          <w:rFonts w:cs="PT Astra Serif" w:ascii="PT Astra Serif" w:hAnsi="PT Astra Serif"/>
          <w:sz w:val="28"/>
          <w:szCs w:val="28"/>
        </w:rPr>
        <w:t xml:space="preserve"> № </w:t>
      </w:r>
      <w:r>
        <w:rPr>
          <w:rFonts w:cs="PT Astra Serif" w:ascii="PT Astra Serif" w:hAnsi="PT Astra Serif"/>
          <w:sz w:val="28"/>
          <w:szCs w:val="28"/>
          <w:u w:val="single"/>
        </w:rPr>
        <w:t>115</w:t>
      </w:r>
      <w:r>
        <w:rPr>
          <w:rFonts w:cs="PT Astra Serif" w:ascii="PT Astra Serif" w:hAnsi="PT Astra Serif"/>
          <w:sz w:val="28"/>
          <w:szCs w:val="28"/>
          <w:u w:val="single"/>
        </w:rPr>
        <w:t>1</w:t>
      </w:r>
    </w:p>
    <w:p>
      <w:pPr>
        <w:pStyle w:val="Normal"/>
        <w:keepNext w:val="true"/>
        <w:widowControl/>
        <w:jc w:val="center"/>
        <w:rPr>
          <w:rFonts w:ascii="PT Astra Serif" w:hAnsi="PT Astra Serif"/>
        </w:rPr>
      </w:pPr>
      <w:r>
        <w:rPr>
          <w:rFonts w:cs="PT Astra Serif" w:ascii="PT Astra Serif" w:hAnsi="PT Astra Serif"/>
        </w:rPr>
        <w:t>г. Кемерово</w:t>
      </w:r>
    </w:p>
    <w:p>
      <w:pPr>
        <w:pStyle w:val="Normal"/>
        <w:keepNext w:val="true"/>
        <w:jc w:val="center"/>
        <w:rPr/>
      </w:pPr>
      <w:r>
        <w:rPr/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 xml:space="preserve">О внесении изменений в приказ Министерства </w:t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>образования Кузбасса от 10</w:t>
      </w:r>
      <w:r>
        <w:rPr>
          <w:b/>
          <w:bCs/>
          <w:color w:val="000000"/>
          <w:sz w:val="28"/>
          <w:szCs w:val="28"/>
          <w:lang w:eastAsia="ru-RU"/>
        </w:rPr>
        <w:t xml:space="preserve">.07.2023 </w:t>
      </w:r>
      <w:r>
        <w:rPr>
          <w:b/>
          <w:bCs/>
          <w:sz w:val="28"/>
          <w:szCs w:val="28"/>
          <w:lang w:eastAsia="ru-RU"/>
        </w:rPr>
        <w:t xml:space="preserve">№ 2393 </w:t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 xml:space="preserve">«Об организации системы внутреннего обеспечения </w:t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 xml:space="preserve">соответствия требованиям антимонопольного </w:t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>законодательства в Министерстве образования Кузбасса»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</w:rPr>
        <w:t>ПРИКАЗЫВАЮ: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в приказ Министерства образования Кузбасса от 10.07.2023 № 2393 «Об организации системы внутреннего обеспечения соответствия требованиям антимонопольного законодательства в Министерстве образования Кузбасса» следующие изменения: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В пункте 2 слово «отдел» заменить словом «управление».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Положение об организации системы внутреннего обеспечения соответствия требованиям антимонопольного законодательства в Министерстве образования Кузбасса, утвержденное приказом, изложить в новой редакции согласно приложению к настоящему приказу.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Отделу информатизации Министерства образования Кузбасса обеспечить размещение настоящего приказа на официальном сайте Министерства образования Кузбасса.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Управлению правовой и кадровой работы Министерства образования Кузбасса обеспечить размещение настоящего приказа в сетевом издании «Электронный бюллетень Правительства Кемеровской области –  Кузбасса» и на официальном интернет-портале правовой информации. 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Контроль за исполнением настоящего приказа оставляю за собой.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6500" w:leader="none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Министр образования Кузбасса</w:t>
        <w:tab/>
        <w:t xml:space="preserve">          С.Ю. Балакирева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650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0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0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0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79"/>
        <w:gridCol w:w="4958"/>
      </w:tblGrid>
      <w:tr>
        <w:trPr>
          <w:trHeight w:val="1470" w:hRule="atLeast"/>
        </w:trPr>
        <w:tc>
          <w:tcPr>
            <w:tcW w:w="4479" w:type="dxa"/>
            <w:tcBorders/>
          </w:tcPr>
          <w:p>
            <w:pPr>
              <w:pStyle w:val="Normal"/>
              <w:snapToGrid w:val="false"/>
              <w:jc w:val="both"/>
              <w:rPr>
                <w:rFonts w:ascii="Calibri" w:hAnsi="Calibri" w:eastAsia="Calibri" w:cs="Calibri"/>
                <w:sz w:val="28"/>
                <w:szCs w:val="28"/>
              </w:rPr>
            </w:pPr>
            <w:r>
              <w:rPr>
                <w:rFonts w:eastAsia="Calibri" w:cs="Calibri" w:ascii="Calibri" w:hAnsi="Calibri"/>
                <w:sz w:val="28"/>
                <w:szCs w:val="28"/>
              </w:rPr>
            </w:r>
          </w:p>
        </w:tc>
        <w:tc>
          <w:tcPr>
            <w:tcW w:w="4958" w:type="dxa"/>
            <w:tcBorders/>
          </w:tcPr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приказу Министерства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образования Кузбасса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2</w:t>
            </w:r>
            <w:r>
              <w:rPr>
                <w:rFonts w:eastAsia="Calibri"/>
                <w:sz w:val="28"/>
                <w:szCs w:val="28"/>
              </w:rPr>
              <w:t>9</w:t>
            </w:r>
            <w:r>
              <w:rPr>
                <w:rFonts w:eastAsia="Calibri"/>
                <w:sz w:val="28"/>
                <w:szCs w:val="28"/>
              </w:rPr>
              <w:t xml:space="preserve"> апреля 2026 г. № 1</w:t>
            </w:r>
            <w:r>
              <w:rPr>
                <w:rFonts w:eastAsia="Calibri"/>
                <w:sz w:val="28"/>
                <w:szCs w:val="28"/>
              </w:rPr>
              <w:t>151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left" w:pos="6500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00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Положение </w:t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/>
      </w:pPr>
      <w:r>
        <w:rPr>
          <w:spacing w:val="2"/>
          <w:sz w:val="28"/>
          <w:szCs w:val="28"/>
        </w:rPr>
        <w:t>об организации</w:t>
      </w:r>
      <w:r>
        <w:rPr/>
        <w:t xml:space="preserve"> </w:t>
      </w:r>
      <w:r>
        <w:rPr>
          <w:spacing w:val="2"/>
          <w:sz w:val="28"/>
          <w:szCs w:val="28"/>
        </w:rPr>
        <w:t xml:space="preserve">системы внутреннего обеспечения соответствия </w:t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/>
      </w:pPr>
      <w:r>
        <w:rPr>
          <w:spacing w:val="2"/>
          <w:sz w:val="28"/>
          <w:szCs w:val="28"/>
        </w:rPr>
        <w:t xml:space="preserve">требованиям антимонопольного законодательства </w:t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Министерстве образования Кузбасса </w:t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1.1. Настоящее Положение разработано в соответствии с распоряжением Правительства Российской Федерации от 18.10.2018             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требованиям антимонопольного законодательства» (далее – методические рекомендации) и определяет правила организации</w:t>
      </w:r>
      <w:r>
        <w:rPr/>
        <w:t xml:space="preserve"> </w:t>
      </w:r>
      <w:r>
        <w:rPr>
          <w:sz w:val="28"/>
          <w:szCs w:val="28"/>
        </w:rPr>
        <w:t>системы внутреннего обеспечения соответствия требованиям антимонопольного законодательства Российской Федерации в Министерстве образования Кузбасса (далее - антимонопольный комплаенс, Министерство).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1.2. Термины и понятия, используемые в настоящем Положении, применяются в значениях, определенных методическими рекомендациями.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принципы антимонопольного комплаенса</w:t>
      </w:r>
    </w:p>
    <w:p>
      <w:pPr>
        <w:pStyle w:val="Normal"/>
        <w:ind w:firstLine="709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Цели антимонопольного комплаенса: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обеспечение соответствия деятельности Министерства требованиям антимонопольного законодательства;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б) профилактика нарушения требований антимонопольного законодательства в деятельности Министерства. 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Задачи антимонопольного комплаенса: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выявление рисков нарушения антимонопольного законодательства;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б) управление рисками нарушения антимонопольного законодательства;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в) контроль за соответствием деятельности Министерства требованиям антимонопольного законодательства;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г) оценка эффективности функционирования антимонопольного комплаенса в Министерстве.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2.3. Принципы осуществления антимонопольного комплаенса: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а) законность;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б) заинтересованность руководства Министерства в эффективности функционирования антимонопольного комплаенса;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в) регулярность оценки рисков нарушения антимонопольного законодательства;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г) обеспечение информационной открытости функционирования антимонопольного комплаенса в Министерстве;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д) непрерывность анализа и функционирования антимонопольного законодательства в Министерстве;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е) совершенствования антимонопольного комплаенса.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3. Уполномоченное подразделение, ответственное за организацию и функционирование антимонопольного комплаенса, а также функции коллегиального органа, осуществляющего оценку эффективности организации и функционирования антимонопольного комплаенса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3.1. Общий контроль за организацией и функционированием антимонопольного комплаенса осуществляет министр образования Кузбасса, который: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а) принимает правовой акт об антимонопольном комплаенсе, вносит в него изменения, а также принимает внутренние документы, регламентирующие реализацию антимонопольного комплаенса;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б) применяет предусмотренные законодательством Российской Федерации меры ответственности за несоблюдение государственными гражданскими служащими (работниками) Министерства правовых актов об антимонопольном комплаенсе;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в) рассматривает материалы, отчеты и результаты оценок эффективности функционирования антимонопольного комплаенса и принимает меры, направленные на устранение выявленных недостатков;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г) осуществляет контроль за устранением выявленных недостатков антимонопольного комплаенса;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д) подписывает доклад об антимонопольном комплаенсе, утверждаемый коллегиальным органом.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3.2. Уполномоченным подразделением, осуществляющим деятельность по организации, обеспечению контроля и анализа эффективности антимонопольного комплаенса в Министерстве, является управление правовой и кадровой работы.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3.3. Уполномоченное подразделение подчиняется непосредственно министру образования Кузбасса, и наделено необходимыми полномочиями и ресурсами для выполнения своих задач, в том числе за счет определения порядка взаимодействия лиц, осуществляющих антимонопольный комплаенс, и других отделов Министерства. 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3.4. К компетенции уполномоченного подразделения относятся следующие функции: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разработка и представление на утверждение министру образования Кузбасса приказа об антимонопольном комплаенсе (внесении изменений в указанный приказ), а также внутренних документов Министерства, регламентирующих процедуры антимонопольного комплаенса;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б) 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вероятности их возникновения;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в) выявление конфликта интересов в деятельности служащих (работников) отделов Министерства, разработка предложений по их исключению;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г) консультирование служащих (работников) Министерства по вопросам,</w:t>
      </w:r>
    </w:p>
    <w:p>
      <w:pPr>
        <w:pStyle w:val="Normal"/>
        <w:jc w:val="both"/>
        <w:rPr/>
      </w:pPr>
      <w:r>
        <w:rPr>
          <w:sz w:val="28"/>
          <w:szCs w:val="28"/>
        </w:rPr>
        <w:t>связанным соблюдением антимонопольного законодательства и антимонопольным комплаенсом;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д) организация взаимодействия с другими отделами Министерства по вопросам, связанным с антимонопольным комплаенсом;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е) разработка процедуры внутреннего расследования, связанного с осуществлением антимонопольного комплаенса;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ж) организация внутренних расследований, связанных с осуществлением антимонопольного комплаенса и участие в них;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з) взаимодействие с антимонопольным органом и организация содействия</w:t>
      </w:r>
    </w:p>
    <w:p>
      <w:pPr>
        <w:pStyle w:val="Normal"/>
        <w:jc w:val="both"/>
        <w:rPr/>
      </w:pPr>
      <w:r>
        <w:rPr>
          <w:sz w:val="28"/>
          <w:szCs w:val="28"/>
        </w:rPr>
        <w:t>ему по вопросам, связанным с выявленными нарушениями, проводимыми проверками, и привлечения к ответственности;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и) информирование министра образования Кузбасса о 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комплаенсу;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к) иные функции, связанные с осуществлением антимонопольного комплаенса.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3.5. Оценку эффективности организации и функционирования в Министерстве антимонопольного комплаенса осуществляет коллегиальный орган.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Функции коллегиального органа возложены на Общественный совет при Министерстве.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К функциям коллегиального органа относятся: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рассмотрение и оценка мероприятий Министерства в части, касающейся функционирования антимонопольного комплаенса;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б) рассмотрение и утверждение доклада об антимонопольном комплаенсе.</w:t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4. Выявление и оценка рисков нарушения </w:t>
      </w:r>
    </w:p>
    <w:p>
      <w:pPr>
        <w:pStyle w:val="Normal"/>
        <w:jc w:val="center"/>
        <w:rPr/>
      </w:pPr>
      <w:r>
        <w:rPr>
          <w:sz w:val="28"/>
          <w:szCs w:val="28"/>
        </w:rPr>
        <w:t>антимонопольного законодательства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4.1. В целях выявления рисков нарушения антимонопольного законодательства уполномоченным подразделением совместно с другими структурными подразделениями Министерства на регулярной основе проводятся следующие мероприятия: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анализ выявленных нарушений антимонопольного законодательства в деятельности Министерства за предыдущие 3 года (наличие предостережений, предупреждений, штрафов, жалоб, возбужденных дел);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б) анализ нормативных правовых актов Министерства;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в) анализ проектов нормативных правовых актов Министерства;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г) мониторинг и анализ практики применения Министерством антимонопольного законодательства (в части обращения и ответов Министерства при реализации своих полномочий);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д)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4.2. Мероприятия, предусмотренные пунктом 4.1 настоящего Положения, должны осуществляться за один и тот же период каждого года (далее – отчетный период) и проводятся уполномоченным подразделением Министерства.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4.3. При проведении (не реже одного раза в год) анализа выявленных нарушений антимонопольного законодательства за 3 года, предшествующих отчетному периоду (наличие предостережений, предупреждений, штрафов, жалоб, возбужденных дел) уполномоченным подразделением реализуются  следующие мероприятия: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осуществление сбора в структурных подразделениях Министерства сведений о наличии нарушений антимонопольного законодательства;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б) составление перечня нарушений антимонопольного законодательства в Министерстве совместно со структурными подразделениями Министерства, который содержит классифицированные по сферам деятельности Министерства сведения о выявленных за 3 года, предшествующих отчетному периоду, нарушениях антимонопольного законодательства (отдельно по каждому нарушению) и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Министерством на недопущение повторения нарушения. Указанный перечень формируется не позднее 15 рабочих дней после окончания отчетного периода.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4.4. При проведении (не реже одного раза в год) анализа нормативных правовых актов Министерства уполномоченным подразделением реализуются следующие мероприятия: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разработка и размещение на официальном сайте Министерства в информационно-телекоммуникационной сети «Интернет» исчерпывающего перечня нормативных правовых актов Министерства (далее - перечень актов) с приложением к перечню актов текстов таких актов, за исключением актов содержащих сведения, относящиеся к охраняемой законом тайне;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б) размещение на официальном сайте Министерства в информационно-телекоммуникационной сети «Интернет» уведомления о начале и окончании сбора замечаний и предложений организаций и граждан по перечню актов;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в) осуществление сбора и проведение анализа представленных замечаний и предложений организаций и граждан по перечню актов;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г) представление министру образования Кузбасса служебной записки с обоснованием целесообразности (нецелесообразности) внесения изменений в нормативные правовые акты Министерства. Указанная записка формируется не позднее 15 рабочих дней после окончания отчетного периода.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4.5. При проведении анализа проектов нормативных правовых актов Министерства уполномоченным подразделением совместно с руководителями структурных подразделений Министерства, ответственными на разработку проектов нормативных правовых актов, реализуются следующие мероприятия: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размещение на официальном сайте Министерства в информационно-телекоммуникационной сети «Интернет» проекта нормативного правового акта Министерства. В случае если проект нормативного правового акта содержит положения, регулируемые антимонопольным законодательством, указанный проект размещается на официальном сайте Министерства с необходимым обоснованием реализации предлагаемых решений, в том числе их влияния на конкуренцию.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б) осуществление сбора и проведение оценки поступивших от организаций и граждан замечаний и предложений по проекту нормативного правового акта, по результатам которой составляется справка с обоснованием целесообразности (нецелесообразности) учета в проекте нормативного правового акта представленных замечаний и предложений организаций и граждан. Срок сбора замечаний и предложений организаций и граждан составляет 10 календарных дней со дня размещения проекта нормативного правового акта Министерства на официальном сайте Министерства в информационно-телекоммуникационной сети «Интернет». Справка с обоснованием целесообразности (нецелесообразности) учета в проекте нормативного правового акта представленных замечаний и предложений организаций и граждан, предусмотренная настоящим подпунктом, составляется в течение 2 рабочих дней со дня поступления от организаций и граждан замечаний и предложений. В случае размещения на официальном сайте Министерства в информационно-телекоммуникационной сети «Интернет» проекта нормативного правового акта Министерства руководителем структурного подразделения Министерства, ответственного за разработку проекта нормативного правового акта, за исключением управления правовой и кадровой работы Министерства, указанная справка в день ее подписания руководителем структурного подразделения представляется в управление правовой и кадровой работы Министерства.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4.6. При проведении мониторинга и анализа практики применения антимонопольного законодательства в Министерстве уполномоченным подразделением реализуются следующие мероприятия: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осуществление на постоянной основе сбора сведений, в том числе в структурных подразделениях Министерства, о правоприменительной практике в Министерстве;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б) подготовка по итогам сбора информации, предусмотренной подпунктом «а» настоящего Положения, аналитической справки об изменениях и основных аспектах правоприменительной практики в Министерстве, а также о проблемах правоприменения. Указанная справка формируется не позднее 15 рабочих дней после окончания отчетного периода.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в) проведение (по мере необходимости) рабочих совещаний с приглашением антимонопольного органа по обсуждению результатов правоприменительной практики в Министерстве.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4.7. При выявлении рисков нарушения антимонопольного законодательства уполномоченным подразделением проводится оценка таких рисков с учетом следующих показателей: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отрицательное влияние на отношение институтов гражданского общества к деятельности Министерства по развитию конкуренции;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б)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в) возбуждение дел о нарушении антимонопольного законодательства;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г) привлечение к административной ответственности в виде наложения штрафов на должностных лиц или в виде дисквалификации.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4.8. Выявляемые риски нарушения антимонопольного законодательства распределяются уполномоченным подразделением по уровням согласно приложению № 1 к настоящему Положению.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4.9. На основе проведенной оценки рисков нарушения антимонопольного законодательства уполномоченным подразделением совместно с другими структурными подразделениями Министерства составляется описание рисков нарушения антимонопольного законодательства, в которое также включается оценка причин и условий возникновения рисков, по форме согласно приложению № 2 к настоящему Положению.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4.10. Описание рисков нарушения антимонопольного законодательства составляется не реже одного раза в год, утверждаются министром образования Кузбасса или уполномоченным им лицом, и размещаются на официальном сайте Министерства в информационно-телекоммуникационной сети «Интернет».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4.11. </w:t>
      </w:r>
      <w:r>
        <w:rPr>
          <w:color w:val="000000"/>
          <w:sz w:val="28"/>
          <w:szCs w:val="28"/>
        </w:rPr>
        <w:t>В целях снижения рисков нарушения антимонопольного законодательства уполномоченным подразделением совместно с другими структурными подразделениями Министерства разрабатываются (не реже одного раза в год) мероприятия по снижению рисков нарушения антимонопольного законодательства по форме согласно приложению № 3 к настоящему Положению.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4.12. М</w:t>
      </w:r>
      <w:r>
        <w:rPr>
          <w:color w:val="000000"/>
          <w:sz w:val="28"/>
          <w:szCs w:val="28"/>
        </w:rPr>
        <w:t>ероприятия по снижению рисков нарушения антимонопольного законодательства утверждаются</w:t>
      </w:r>
      <w:r>
        <w:rPr>
          <w:sz w:val="28"/>
          <w:szCs w:val="28"/>
        </w:rPr>
        <w:t xml:space="preserve"> утверждаются министром образования Кузбасса или уполномоченным им лицом и размещается на официальном сайте Министерства в информационно-телекоммуникационной сети «Интернет».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4.13. Уполномоченное подразделение на постоянной основе осуществляет мониторинг исполнения мероприятий по снижению рисков нарушения антимонопольного законодательства.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4.14. Информация о проведении выявления и оценки рисков нарушения антимонопольного законодательства, а также об исполнении мероприятий по снижению рисков нарушения антимонопольного законодательства включается в доклад об антимонопольном комплаенсе.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center"/>
        <w:rPr>
          <w:sz w:val="28"/>
          <w:szCs w:val="28"/>
        </w:rPr>
      </w:pPr>
      <w:r>
        <w:rPr>
          <w:sz w:val="28"/>
          <w:szCs w:val="28"/>
        </w:rPr>
        <w:t>5. Ключевые показатели и оценка эффективности функционирования антимонопольного комплаенса</w:t>
      </w:r>
    </w:p>
    <w:p>
      <w:pPr>
        <w:pStyle w:val="Normal"/>
        <w:ind w:firstLine="70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5.1. В целях оценки эффективности функционирования в Министерстве антимонопольного комплаенса для уполномоченного подразделения, так и для Министерства в целом, установлены следующие ключевые показатели: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снижение количества выявленных нарушений антимонопольного законодательства (предостережений, предупреждений, штрафов, жалоб, возбужденных дел) за отчетный период;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б) снижение замечаний, предложений организаций и граждан по перечню актов, на основании которых необходимо вносить изменения;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в) снижение замечаний, предложений организаций и граждан по проекту нормативного правового акта, согласно которым проект нормативного правового акта нуждается в доработке;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г) снижение количества правонарушений в правоприменительной практике Министерства.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5.2. Ключевые показатели эффективности функционирования антимонопольного комплаенса в Министерстве, предусмотренные пунктом 5.1 настоящего Положения (далее – ключевые показатели эффективности), могут быть выражены в абсолютных значениях (единицы, штуки), в относительном значении (проценты).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5.3. Уполномоченное подразделение проводит оценку достижения ключевых показателей эффективности. Указанная оценка проводится не позднее 20 рабочих дней после окончания отчетного периода.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5.4. Оценка достижения ключевых показателей эффективности проводится на основании сравнения показателей за отчетный период текущего года и период, предыдущий отчетному периоду, включенных в следующие документы: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а) перечень нарушений антимонопольного законодательства в Министерстве, предусмотренный подпунктом «б» пункта 4.3 настоящего Положения;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б) служебную записку с обоснованием целесообразности (нецелесообразности) внесения изменений в нормативные правовые акты Министерства, предусмотренную подпунктом «г» пункта 4.4 настоящего Положения;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в) справку с обоснованием целесообразности (нецелесообразности) учета в проекте нормативного правового акта представленных замечаний и предложений организаций и граждан, предусмотренную подпунктом «б» пункта 4.5. настоящего Положения;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г) аналитическую справку об изменениях и основных аспектах правоприменительной практики в Министерстве, предусмотренную подпунктом «б» пункта 4.6 настоящего Положения.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5.5. Информация о достижении ключевых показателей эффективности функционирования антимонопольного комплаенса в Министерстве включается в доклад об антимонопольном комплаенсе.</w:t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center"/>
        <w:rPr/>
      </w:pPr>
      <w:r>
        <w:rPr>
          <w:sz w:val="28"/>
          <w:szCs w:val="28"/>
        </w:rPr>
        <w:t>6. Доклад об антимонопольном комплаенсе</w:t>
      </w:r>
    </w:p>
    <w:p>
      <w:pPr>
        <w:pStyle w:val="Normal"/>
        <w:ind w:firstLine="70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Доклад об антимонопольном комплаенсе должен содержать информацию: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 результатах проведенной оценки рисков нарушения Министерством антимонопольного законодательства;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об исполнении мероприятий по снижению рисков нарушения Министерством антимонопольного законодательства;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 достижении ключевых показателей эффективности антимонопольного комплаенса.</w:t>
      </w:r>
    </w:p>
    <w:p>
      <w:pPr>
        <w:pStyle w:val="Normal"/>
        <w:ind w:firstLine="709" w:right="-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Доклад об антимонопольном комплаенсе представляется в Общественный совет при Министерстве на утверждение (не реже одного раза в год) уполномоченным подразделением.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6.3. Доклад об антимонопольном комплаенсе, утвержденный Общественным советом при Министерстве, размещается на официальном сайте Министерства.</w:t>
      </w:r>
    </w:p>
    <w:p>
      <w:pPr>
        <w:pStyle w:val="Normal"/>
        <w:ind w:hanging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79"/>
        <w:gridCol w:w="4958"/>
      </w:tblGrid>
      <w:tr>
        <w:trPr>
          <w:trHeight w:val="1470" w:hRule="atLeast"/>
        </w:trPr>
        <w:tc>
          <w:tcPr>
            <w:tcW w:w="4479" w:type="dxa"/>
            <w:tcBorders/>
          </w:tcPr>
          <w:p>
            <w:pPr>
              <w:pStyle w:val="Normal"/>
              <w:snapToGrid w:val="false"/>
              <w:jc w:val="both"/>
              <w:rPr>
                <w:rFonts w:ascii="Calibri" w:hAnsi="Calibri" w:eastAsia="Calibri" w:cs="Calibri"/>
                <w:sz w:val="28"/>
                <w:szCs w:val="28"/>
              </w:rPr>
            </w:pPr>
            <w:r>
              <w:rPr>
                <w:rFonts w:eastAsia="Calibri" w:cs="Calibri" w:ascii="Calibri" w:hAnsi="Calibri"/>
                <w:sz w:val="28"/>
                <w:szCs w:val="28"/>
              </w:rPr>
            </w:r>
          </w:p>
        </w:tc>
        <w:tc>
          <w:tcPr>
            <w:tcW w:w="4958" w:type="dxa"/>
            <w:tcBorders/>
          </w:tcPr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Положению об организации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системы внутреннего обеспечения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соответствия требованиям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антимонопольного законодательства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Министерстве образования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Кузбасса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hanging="0" w:left="0"/>
        <w:jc w:val="right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Уровни рисков нарушения </w:t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антимонопольного законодательства</w:t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9"/>
        <w:gridCol w:w="7194"/>
      </w:tblGrid>
      <w:tr>
        <w:trPr/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риска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риска</w:t>
            </w:r>
          </w:p>
        </w:tc>
      </w:tr>
      <w:tr>
        <w:trPr/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both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Отрицательное влияние на  отношение институтов гражданского общества к деятельности Министерства образования Кузбасса (далее – Министерство)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>
        <w:trPr/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Незначительный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both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 выдачи Министерству предупреждения</w:t>
            </w:r>
          </w:p>
        </w:tc>
      </w:tr>
      <w:tr>
        <w:trPr/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Существенный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both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 выдачи Министерству предупреждения и возбуждения в отношении него дела о нарушении антимонопольного законодательства</w:t>
            </w:r>
          </w:p>
        </w:tc>
      </w:tr>
      <w:tr>
        <w:trPr/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both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 выдачи Министерству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79"/>
        <w:gridCol w:w="4958"/>
      </w:tblGrid>
      <w:tr>
        <w:trPr>
          <w:trHeight w:val="1470" w:hRule="atLeast"/>
        </w:trPr>
        <w:tc>
          <w:tcPr>
            <w:tcW w:w="4479" w:type="dxa"/>
            <w:tcBorders/>
          </w:tcPr>
          <w:p>
            <w:pPr>
              <w:pStyle w:val="Normal"/>
              <w:snapToGrid w:val="false"/>
              <w:jc w:val="both"/>
              <w:rPr>
                <w:rFonts w:ascii="Calibri" w:hAnsi="Calibri" w:eastAsia="Calibri" w:cs="Calibri"/>
                <w:sz w:val="28"/>
                <w:szCs w:val="28"/>
              </w:rPr>
            </w:pPr>
            <w:r>
              <w:rPr>
                <w:rFonts w:eastAsia="Calibri" w:cs="Calibri" w:ascii="Calibri" w:hAnsi="Calibri"/>
                <w:sz w:val="28"/>
                <w:szCs w:val="28"/>
              </w:rPr>
            </w:r>
          </w:p>
        </w:tc>
        <w:tc>
          <w:tcPr>
            <w:tcW w:w="4958" w:type="dxa"/>
            <w:tcBorders/>
          </w:tcPr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Положению об организации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системы внутреннего обеспечения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соответствия требованиям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антимонопольного законодательства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Министерстве образования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Кузбасса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/>
      </w:pPr>
      <w:r>
        <w:rPr>
          <w:sz w:val="28"/>
          <w:szCs w:val="28"/>
        </w:rPr>
        <w:t xml:space="preserve">Описание рисков нарушения антимонопольного законодательства </w:t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2385"/>
        <w:gridCol w:w="2040"/>
        <w:gridCol w:w="3729"/>
      </w:tblGrid>
      <w:tr>
        <w:trPr/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/>
            </w:pPr>
            <w:r>
              <w:rPr>
                <w:sz w:val="28"/>
                <w:szCs w:val="28"/>
              </w:rPr>
              <w:t>Выявленные риски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рисков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 и условия возникновения рисков</w:t>
            </w:r>
          </w:p>
        </w:tc>
      </w:tr>
      <w:tr>
        <w:trPr/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/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5103" w:righ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79"/>
        <w:gridCol w:w="4958"/>
      </w:tblGrid>
      <w:tr>
        <w:trPr>
          <w:trHeight w:val="1470" w:hRule="atLeast"/>
        </w:trPr>
        <w:tc>
          <w:tcPr>
            <w:tcW w:w="4479" w:type="dxa"/>
            <w:tcBorders/>
          </w:tcPr>
          <w:p>
            <w:pPr>
              <w:pStyle w:val="Normal"/>
              <w:snapToGrid w:val="false"/>
              <w:jc w:val="both"/>
              <w:rPr>
                <w:rFonts w:ascii="Calibri" w:hAnsi="Calibri" w:eastAsia="Calibri" w:cs="Calibri"/>
                <w:sz w:val="28"/>
                <w:szCs w:val="28"/>
              </w:rPr>
            </w:pPr>
            <w:r>
              <w:rPr>
                <w:rFonts w:eastAsia="Calibri" w:cs="Calibri" w:ascii="Calibri" w:hAnsi="Calibri"/>
                <w:sz w:val="28"/>
                <w:szCs w:val="28"/>
              </w:rPr>
            </w:r>
          </w:p>
        </w:tc>
        <w:tc>
          <w:tcPr>
            <w:tcW w:w="4958" w:type="dxa"/>
            <w:tcBorders/>
          </w:tcPr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Положению об организации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системы внутреннего обеспечения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соответствия требованиям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антимонопольного законодательства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Министерстве образования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Кузбасса</w:t>
            </w:r>
          </w:p>
          <w:p>
            <w:pPr>
              <w:pStyle w:val="Normal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Мероприятия по снижению рисков нарушения </w:t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антимонопольного законодательства</w:t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895"/>
        <w:gridCol w:w="2283"/>
        <w:gridCol w:w="2200"/>
        <w:gridCol w:w="2388"/>
      </w:tblGrid>
      <w:tr>
        <w:trPr/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Выявленный риск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/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>
        <w:trPr/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hanging="0" w:left="0"/>
        <w:jc w:val="center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8071621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11" w:customStyle="1">
    <w:name w:val="Верхний колонтитул Знак1"/>
    <w:basedOn w:val="DefaultParagraphFont"/>
    <w:uiPriority w:val="99"/>
    <w:qFormat/>
    <w:rPr/>
  </w:style>
  <w:style w:type="character" w:styleId="12" w:customStyle="1">
    <w:name w:val="Нижний колонтитул Знак1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link w:val="Caption11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zh-CN"/>
    </w:rPr>
  </w:style>
  <w:style w:type="character" w:styleId="Style14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15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16" w:customStyle="1">
    <w:name w:val="Символ нумерации"/>
    <w:qFormat/>
    <w:rPr/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Indexheading1">
    <w:name w:val="index heading1"/>
    <w:basedOn w:val="Style17"/>
    <w:qFormat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Caption11" w:customStyle="1">
    <w:name w:val="caption11"/>
    <w:basedOn w:val="Normal"/>
    <w:link w:val="Style8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Indexheading11" w:customStyle="1">
    <w:name w:val="index heading11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11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2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0504D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C0504D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B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064A2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8064A2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BACC6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4BACC6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7964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7964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0504D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C0504D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9B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064A2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8064A2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BACC6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4BACC6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7964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7964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EA51F-95A8-495E-A9FC-B7D402185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Application>LibreOffice/24.2.3.2$Linux_X86_64 LibreOffice_project/420$Build-2</Application>
  <AppVersion>15.0000</AppVersion>
  <Pages>12</Pages>
  <Words>2248</Words>
  <Characters>18622</Characters>
  <CharactersWithSpaces>21001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2025-06-09T04:50:00Z</dcterms:created>
  <dc:creator>Алексей Бовбас</dc:creator>
  <dc:description/>
  <dc:language>ru-RU</dc:language>
  <cp:lastModifiedBy/>
  <cp:lastPrinted>2026-04-28T13:40:07Z</cp:lastPrinted>
  <dcterms:modified xsi:type="dcterms:W3CDTF">2026-04-29T16:48:36Z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