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января 2021 г. N 9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ПРЕДРЕЙСОВОГО ИЛИ ПРЕДСМЕННОГО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ТЕХНИЧЕСКОГО СОСТОЯНИЯ ТРАНСПОРТНЫХ СРЕДСТВ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>
        <w:rPr>
          <w:rFonts w:ascii="Calibri" w:hAnsi="Calibri" w:cs="Calibri"/>
        </w:rPr>
        <w:t xml:space="preserve">2018, N 45, ст. 6841) и </w:t>
      </w:r>
      <w:hyperlink r:id="rId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  <w:proofErr w:type="gramEnd"/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транспортных средств.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A4F86">
        <w:rPr>
          <w:rFonts w:ascii="Calibri" w:hAnsi="Calibri" w:cs="Calibri"/>
          <w:highlight w:val="yellow"/>
        </w:rPr>
        <w:t>2. Настоящий приказ вступает в силу с 1 сентября 2021 г. и действует до 1 сентября 2027 г.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В.Г.САВЕЛЬЕВ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января 2021 г. N 9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ПОРЯДОК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ПРЕДРЕЙСОВОГО ИЛИ ПРЕДСМЕННОГО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ТЕХНИЧЕСКОГО СОСТОЯНИЯ ТРАНСПОРТНЫХ СРЕДСТВ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транспортных средств (далее - Порядок) устанавливает требования к организации и проведению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транспортных средств (далее - контроль) с целью исключения выпуска на линию технически неисправных транспортных средств.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 &lt;1&gt; (далее - субъекты транспортной деятельности).</w:t>
      </w:r>
      <w:proofErr w:type="gramEnd"/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Пункт 2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 "О безопасности дорожного движения".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проводится в любой промежуток времени, необходимый для определения технического состояния транспортного средства и ограниченный временем въезда транспортного средства на парковку (парковочное место), предназначенную для стоянки транспортного средства по возвращении из рейса и окончании смены водителя транспортного средства (далее - парковка), до выезда транспортного средства с парковки.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Контроль осуществляется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предпринимателем. </w:t>
      </w:r>
      <w:proofErr w:type="gramStart"/>
      <w:r>
        <w:rPr>
          <w:rFonts w:ascii="Calibri" w:hAnsi="Calibri" w:cs="Calibri"/>
        </w:rPr>
        <w:t xml:space="preserve">Работники или индивидуальные предприниматели, указанные в настоящем пункте, осуществляющие контроль, должны соответствовать профессиональным и квалификационным требованиям, предъявляемым при осуществлении перевозок к работникам юридических лиц и индивидуальных предпринимателей, указанных в </w:t>
      </w:r>
      <w:hyperlink r:id="rId7" w:history="1">
        <w:r>
          <w:rPr>
            <w:rFonts w:ascii="Calibri" w:hAnsi="Calibri" w:cs="Calibri"/>
            <w:color w:val="0000FF"/>
          </w:rPr>
          <w:t>абзаце первом пункта 2 статьи 20</w:t>
        </w:r>
      </w:hyperlink>
      <w:r>
        <w:rPr>
          <w:rFonts w:ascii="Calibri" w:hAnsi="Calibri" w:cs="Calibri"/>
        </w:rPr>
        <w:t xml:space="preserve"> Федерального закона "О безопасности дорожного движения", устанавливаемым Минтрансом России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</w:t>
      </w:r>
      <w:proofErr w:type="gramEnd"/>
      <w:r>
        <w:rPr>
          <w:rFonts w:ascii="Calibri" w:hAnsi="Calibri" w:cs="Calibri"/>
        </w:rPr>
        <w:t xml:space="preserve"> "О безопасности дорожного движения", </w:t>
      </w:r>
      <w:proofErr w:type="gramStart"/>
      <w:r>
        <w:rPr>
          <w:rFonts w:ascii="Calibri" w:hAnsi="Calibri" w:cs="Calibri"/>
        </w:rPr>
        <w:t>предъявляемым</w:t>
      </w:r>
      <w:proofErr w:type="gramEnd"/>
      <w:r>
        <w:rPr>
          <w:rFonts w:ascii="Calibri" w:hAnsi="Calibri" w:cs="Calibri"/>
        </w:rPr>
        <w:t xml:space="preserve"> к контролеру технического состояния транспортных средств автомобильного транспорта или контролеру технического состояния транспортных средств городского наземного электрического транспорта.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7. При проведении контроля должны быть проверены: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исправность: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рулевого управления;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стеклоомывателей;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колес (кроме трамвая);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шин (кроме трамвая);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звукового сигнала;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тахографа</w:t>
      </w:r>
      <w:proofErr w:type="spellEnd"/>
      <w:r>
        <w:rPr>
          <w:rFonts w:ascii="Calibri" w:hAnsi="Calibri" w:cs="Calibri"/>
        </w:rPr>
        <w:t xml:space="preserve"> (если обязательность его установки предусмотрена законодательством Российской Федерации) &lt;2&gt;;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9" w:history="1">
        <w:r>
          <w:rPr>
            <w:rFonts w:ascii="Calibri" w:hAnsi="Calibri" w:cs="Calibri"/>
            <w:color w:val="0000FF"/>
          </w:rPr>
          <w:t>Пункт 1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 "О безопасности дорожного движения".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аппаратуры спутниковой навигации (если обязательность ее установки предусмотрена законодательством Российской Федерации) &lt;3&gt;;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4037; 2016, N 47, ст. 6640).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 &lt;4&gt;;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&lt;4&gt; </w:t>
      </w:r>
      <w:hyperlink r:id="rId12" w:history="1">
        <w:r>
          <w:rPr>
            <w:rFonts w:ascii="Calibri" w:hAnsi="Calibri" w:cs="Calibri"/>
            <w:color w:val="0000FF"/>
          </w:rPr>
          <w:t>Пункт 13.1</w:t>
        </w:r>
      </w:hyperlink>
      <w:r>
        <w:rPr>
          <w:rFonts w:ascii="Calibri" w:hAnsi="Calibri" w:cs="Calibri"/>
        </w:rPr>
        <w:t xml:space="preserve"> технического регламента Таможенного союза "О безопасности колесных транспортных средств" (TP ТС 018/2011), принятому решением Комиссии Таможенного союза от 9 декабря 2011 г. N 877 (Официальный сайт Комиссии Таможенного союза http://www.tsouz.ru/, 15 декабря 2011 г.; является обязательным для Российской Федерации со 2 августа 2014 г. в соответствии с </w:t>
      </w:r>
      <w:hyperlink r:id="rId13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Евразийском экономическом союзе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29 мая 2014 г. (официальный сайт Евразийской экономической комиссии http://www.eurasiancommissing.org, 5 июня 2014); ратифицированным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5310)) (далее - Технический регламент).</w:t>
      </w:r>
      <w:proofErr w:type="gramEnd"/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исправность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конструкцией транспортного средства: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 фиксации подушки и спинки водительского сиденья;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 обогрева и обдува стекол;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тягово-сцепного устройства, а также страховочных тросов (цепей);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держателя запасного колеса (кроме трамвая);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фиксаторов транспортного положения опор полуприцепов (при наличии);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конструкцией транспортного средства: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стекол и обзорности с места водителя;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зеркал заднего вида и их креплений;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заднего защитного устройства, грязезащитных фартуков и брызговиков;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ремней безопасности (если обязательность их установки предусмотрена законодательством Российской Федерации) &lt;5&gt; и (или) подголовников сидений и их работоспособность;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15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Техническому регламенту.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работоспособность в установленном режиме: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стеклоочистителей;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внешних световых приборов и </w:t>
      </w:r>
      <w:proofErr w:type="spellStart"/>
      <w:r>
        <w:rPr>
          <w:rFonts w:ascii="Calibri" w:hAnsi="Calibri" w:cs="Calibri"/>
        </w:rPr>
        <w:t>световозвращателей</w:t>
      </w:r>
      <w:proofErr w:type="spellEnd"/>
      <w:r>
        <w:rPr>
          <w:rFonts w:ascii="Calibri" w:hAnsi="Calibri" w:cs="Calibri"/>
        </w:rPr>
        <w:t>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6" w:history="1">
        <w:r>
          <w:rPr>
            <w:rFonts w:ascii="Calibri" w:hAnsi="Calibri" w:cs="Calibri"/>
            <w:color w:val="0000FF"/>
          </w:rPr>
          <w:t>разделом 4 главы V</w:t>
        </w:r>
      </w:hyperlink>
      <w:r>
        <w:rPr>
          <w:rFonts w:ascii="Calibri" w:hAnsi="Calibri" w:cs="Calibri"/>
        </w:rPr>
        <w:t xml:space="preserve">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</w:t>
      </w:r>
      <w:proofErr w:type="spellStart"/>
      <w:r>
        <w:rPr>
          <w:rFonts w:ascii="Calibri" w:hAnsi="Calibri" w:cs="Calibri"/>
        </w:rPr>
        <w:t>противотуманных</w:t>
      </w:r>
      <w:proofErr w:type="spellEnd"/>
      <w:r>
        <w:rPr>
          <w:rFonts w:ascii="Calibri" w:hAnsi="Calibri" w:cs="Calibri"/>
        </w:rPr>
        <w:t xml:space="preserve"> фар (при наличии) и дневных ходовых огней (при наличии);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отсутствие установленных на передней части транспортного средства световых приборов с огнями красного цвета или </w:t>
      </w:r>
      <w:proofErr w:type="spellStart"/>
      <w:r>
        <w:rPr>
          <w:rFonts w:ascii="Calibri" w:hAnsi="Calibri" w:cs="Calibri"/>
        </w:rPr>
        <w:t>световозвращающих</w:t>
      </w:r>
      <w:proofErr w:type="spellEnd"/>
      <w:r>
        <w:rPr>
          <w:rFonts w:ascii="Calibri" w:hAnsi="Calibri" w:cs="Calibri"/>
        </w:rPr>
        <w:t xml:space="preserve">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</w:t>
      </w:r>
      <w:proofErr w:type="spellStart"/>
      <w:r>
        <w:rPr>
          <w:rFonts w:ascii="Calibri" w:hAnsi="Calibri" w:cs="Calibri"/>
        </w:rPr>
        <w:t>цветографических</w:t>
      </w:r>
      <w:proofErr w:type="spellEnd"/>
      <w:r>
        <w:rPr>
          <w:rFonts w:ascii="Calibri" w:hAnsi="Calibri" w:cs="Calibri"/>
        </w:rPr>
        <w:t xml:space="preserve"> схем автомобилей оперативных служб;</w:t>
      </w:r>
      <w:proofErr w:type="gramEnd"/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дополнительно для транспортных средств городского наземного электрического транспорта: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и крепление колесных пар и трамвайных тележек (для трамвая);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силы тока утечки предельно допустимым значениям;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8"/>
      <w:bookmarkEnd w:id="2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наличии конструктивных особенностей специальных и специализированных транспортных средств, а также при проведении контроля в отношении троллейбусов дополнительно должны быть проверены </w:t>
      </w:r>
      <w:r>
        <w:rPr>
          <w:rFonts w:ascii="Calibri" w:hAnsi="Calibri" w:cs="Calibri"/>
        </w:rPr>
        <w:lastRenderedPageBreak/>
        <w:t xml:space="preserve">работоспособность, состояние и исправность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требованиям, установленным </w:t>
      </w:r>
      <w:hyperlink r:id="rId17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приложения N 8 к Техническому регламенту.</w:t>
      </w:r>
      <w:proofErr w:type="gramEnd"/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марки, модели транспортного средства;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государственный регистрационный номер транспортного средства;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фамилию, имя, отчество (при наличии) лица, проводившего контроль;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дату, время проведения контроля;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показания одометра (полные километры пробега) при проведении контроля;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отметку о прохождении контроля (</w:t>
      </w:r>
      <w:proofErr w:type="gramStart"/>
      <w:r>
        <w:rPr>
          <w:rFonts w:ascii="Calibri" w:hAnsi="Calibri" w:cs="Calibri"/>
        </w:rPr>
        <w:t>пройден</w:t>
      </w:r>
      <w:proofErr w:type="gramEnd"/>
      <w:r>
        <w:rPr>
          <w:rFonts w:ascii="Calibri" w:hAnsi="Calibri" w:cs="Calibri"/>
        </w:rPr>
        <w:t xml:space="preserve"> или не пройден);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подпись лица, проводившего контроль.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Журнал ведется на бумажном или электронном носителе.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ведения </w:t>
      </w:r>
      <w:proofErr w:type="gramStart"/>
      <w:r>
        <w:rPr>
          <w:rFonts w:ascii="Calibri" w:hAnsi="Calibri" w:cs="Calibri"/>
        </w:rPr>
        <w:t>журнала</w:t>
      </w:r>
      <w:proofErr w:type="gramEnd"/>
      <w:r>
        <w:rPr>
          <w:rFonts w:ascii="Calibri" w:hAnsi="Calibri" w:cs="Calibri"/>
        </w:rPr>
        <w:t xml:space="preserve"> в электронном виде внесенные в него сведения заверяются электронной подписью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&lt;6&gt;.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Собрание законодательства Российской Федерации, 2011, N 15, ст. 2036; 2020, N 24, ст. 3755.</w:t>
      </w: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C50" w:rsidRDefault="00226C50" w:rsidP="0022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если при контроле не выявлены несоответствия требованиям, перечисленным в </w:t>
      </w:r>
      <w:hyperlink w:anchor="Par41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сведения о пройденном контроле указываются в путевом листе в соответствии с порядком заполнения путевых листов, утверждаемым Минтрансом России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от 8 ноября 2007 г. N 259-ФЗ "Устав автомобильного транспорта и городского наземного электрического транспорта" &lt;7&gt;,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записи о пройденном контроле, внесенной в журнал.</w:t>
      </w:r>
    </w:p>
    <w:p w:rsidR="00226C50" w:rsidRDefault="00226C50" w:rsidP="00226C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sectPr w:rsidR="00226C50" w:rsidSect="00226C50">
      <w:pgSz w:w="11905" w:h="16838"/>
      <w:pgMar w:top="426" w:right="423" w:bottom="426" w:left="28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6C50"/>
    <w:rsid w:val="00226C50"/>
    <w:rsid w:val="005A4F86"/>
    <w:rsid w:val="00B239AE"/>
    <w:rsid w:val="00C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283F7C4D7E0648C6446CA642070F3E44690C32128BB9C6190B5A31FB83DF7C79BC7B523A7767982B6DD329FB12BCC41181850FWCZBH" TargetMode="External"/><Relationship Id="rId13" Type="http://schemas.openxmlformats.org/officeDocument/2006/relationships/hyperlink" Target="consultantplus://offline/ref=54EA283F7C4D7E0648C6446CA642070F3E446B0E37108BB9C6190B5A31FB83DF6E79E474503F6233CF713ADE2AWFZCH" TargetMode="External"/><Relationship Id="rId18" Type="http://schemas.openxmlformats.org/officeDocument/2006/relationships/hyperlink" Target="consultantplus://offline/ref=54EA283F7C4D7E0648C6446CA642070F3E416E0A3B168BB9C6190B5A31FB83DF7C79BC78513A7A34C0646C8F6CA801BDC411838313C803C5W3Z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EA283F7C4D7E0648C6446CA642070F3E44690C32128BB9C6190B5A31FB83DF7C79BC7B523A7767982B6DD329FB12BCC41181850FWCZBH" TargetMode="External"/><Relationship Id="rId12" Type="http://schemas.openxmlformats.org/officeDocument/2006/relationships/hyperlink" Target="consultantplus://offline/ref=54EA283F7C4D7E0648C6446CA642070F3E416E0A3B168BB9C6190B5A31FB83DF7C79BC78573F7767982B6DD329FB12BCC41181850FWCZBH" TargetMode="External"/><Relationship Id="rId17" Type="http://schemas.openxmlformats.org/officeDocument/2006/relationships/hyperlink" Target="consultantplus://offline/ref=54EA283F7C4D7E0648C6446CA642070F3E416E0A3B168BB9C6190B5A31FB83DF7C79BC78513A7937CB646C8F6CA801BDC411838313C803C5W3Z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A283F7C4D7E0648C6446CA642070F3E416E0A3B168BB9C6190B5A31FB83DF7C79BC7851397835C1646C8F6CA801BDC411838313C803C5W3ZAH" TargetMode="External"/><Relationship Id="rId20" Type="http://schemas.openxmlformats.org/officeDocument/2006/relationships/hyperlink" Target="consultantplus://offline/ref=54EA283F7C4D7E0648C6446CA642070F3E446E08301D8BB9C6190B5A31FB83DF7C79BC7851397C36CD646C8F6CA801BDC411838313C803C5W3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A283F7C4D7E0648C6446CA642070F3E44690C32128BB9C6190B5A31FB83DF7C79BC7B523A7767982B6DD329FB12BCC41181850FWCZBH" TargetMode="External"/><Relationship Id="rId11" Type="http://schemas.openxmlformats.org/officeDocument/2006/relationships/hyperlink" Target="consultantplus://offline/ref=54EA283F7C4D7E0648C6446CA642070F3F436E0D32148BB9C6190B5A31FB83DF7C79BC7851397C32CB646C8F6CA801BDC411838313C803C5W3ZAH" TargetMode="External"/><Relationship Id="rId5" Type="http://schemas.openxmlformats.org/officeDocument/2006/relationships/hyperlink" Target="consultantplus://offline/ref=54EA283F7C4D7E0648C6446CA642070F3E4B6D0C31138BB9C6190B5A31FB83DF7C79BC71573228628D3A35DF2EE30CBADC0D8387W0ZCH" TargetMode="External"/><Relationship Id="rId15" Type="http://schemas.openxmlformats.org/officeDocument/2006/relationships/hyperlink" Target="consultantplus://offline/ref=54EA283F7C4D7E0648C6446CA642070F3E416E0A3B168BB9C6190B5A31FB83DF7C79BC7851397437C0646C8F6CA801BDC411838313C803C5W3ZAH" TargetMode="External"/><Relationship Id="rId10" Type="http://schemas.openxmlformats.org/officeDocument/2006/relationships/hyperlink" Target="consultantplus://offline/ref=54EA283F7C4D7E0648C6446CA642070F3F436E0D32148BB9C6190B5A31FB83DF7C79BC7851397C33CC646C8F6CA801BDC411838313C803C5W3ZAH" TargetMode="External"/><Relationship Id="rId19" Type="http://schemas.openxmlformats.org/officeDocument/2006/relationships/hyperlink" Target="consultantplus://offline/ref=54EA283F7C4D7E0648C6446CA642070F3E446E0834138BB9C6190B5A31FB83DF6E79E474503F6233CF713ADE2AWFZCH" TargetMode="External"/><Relationship Id="rId4" Type="http://schemas.openxmlformats.org/officeDocument/2006/relationships/hyperlink" Target="consultantplus://offline/ref=54EA283F7C4D7E0648C6446CA642070F3E44690C32128BB9C6190B5A31FB83DF7C79BC7B50307767982B6DD329FB12BCC41181850FWCZBH" TargetMode="External"/><Relationship Id="rId9" Type="http://schemas.openxmlformats.org/officeDocument/2006/relationships/hyperlink" Target="consultantplus://offline/ref=54EA283F7C4D7E0648C6446CA642070F3E44690C32128BB9C6190B5A31FB83DF7C79BC7B513A7767982B6DD329FB12BCC41181850FWCZBH" TargetMode="External"/><Relationship Id="rId14" Type="http://schemas.openxmlformats.org/officeDocument/2006/relationships/hyperlink" Target="consultantplus://offline/ref=54EA283F7C4D7E0648C6446CA642070F3C45600B33148BB9C6190B5A31FB83DF6E79E474503F6233CF713ADE2AWFZ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</dc:creator>
  <cp:keywords/>
  <dc:description/>
  <cp:lastModifiedBy>Котляров</cp:lastModifiedBy>
  <cp:revision>3</cp:revision>
  <cp:lastPrinted>2021-06-16T07:26:00Z</cp:lastPrinted>
  <dcterms:created xsi:type="dcterms:W3CDTF">2021-06-16T07:24:00Z</dcterms:created>
  <dcterms:modified xsi:type="dcterms:W3CDTF">2021-08-18T02:37:00Z</dcterms:modified>
</cp:coreProperties>
</file>